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07C" w:rsidRDefault="001F669C" w:rsidP="001F669C">
      <w:pPr>
        <w:jc w:val="both"/>
        <w:rPr>
          <w:sz w:val="32"/>
          <w:szCs w:val="32"/>
          <w:lang w:val="el-GR"/>
        </w:rPr>
      </w:pPr>
      <w:r w:rsidRPr="001F669C">
        <w:rPr>
          <w:sz w:val="32"/>
          <w:szCs w:val="32"/>
          <w:lang w:val="el-GR"/>
        </w:rPr>
        <w:t>Συχνές ερωτήσεις – απαντήσεις για την αντιστοίχιση ΚΑΔ 2025</w:t>
      </w:r>
      <w:r w:rsidRPr="001F669C">
        <w:rPr>
          <w:sz w:val="32"/>
          <w:szCs w:val="32"/>
          <w:lang w:val="el-GR"/>
        </w:rPr>
        <w:t xml:space="preserve"> -</w:t>
      </w:r>
      <w:r>
        <w:rPr>
          <w:sz w:val="32"/>
          <w:szCs w:val="32"/>
          <w:lang w:val="el-GR"/>
        </w:rPr>
        <w:t>Προσαρμογή για δικηγόρους</w:t>
      </w:r>
    </w:p>
    <w:p w:rsidR="001F669C" w:rsidRDefault="001F669C" w:rsidP="001F669C">
      <w:pPr>
        <w:jc w:val="both"/>
        <w:rPr>
          <w:sz w:val="32"/>
          <w:szCs w:val="32"/>
          <w:lang w:val="el-GR"/>
        </w:rPr>
      </w:pPr>
    </w:p>
    <w:p w:rsidR="001F669C" w:rsidRPr="001F669C" w:rsidRDefault="001F669C" w:rsidP="001F669C">
      <w:pPr>
        <w:jc w:val="both"/>
        <w:rPr>
          <w:b/>
          <w:sz w:val="32"/>
          <w:szCs w:val="32"/>
          <w:lang w:val="el-GR"/>
        </w:rPr>
      </w:pPr>
      <w:r w:rsidRPr="001F669C">
        <w:rPr>
          <w:b/>
          <w:sz w:val="32"/>
          <w:szCs w:val="32"/>
          <w:lang w:val="el-GR"/>
        </w:rPr>
        <w:t xml:space="preserve">1. </w:t>
      </w:r>
      <w:r w:rsidRPr="001F669C">
        <w:rPr>
          <w:b/>
          <w:sz w:val="32"/>
          <w:szCs w:val="32"/>
          <w:lang w:val="el-GR"/>
        </w:rPr>
        <w:t xml:space="preserve">Ποιοι είναι υπόχρεοι σε αντιστοίχιση ΚΑΔ; </w:t>
      </w:r>
    </w:p>
    <w:p w:rsidR="001F669C" w:rsidRDefault="001F669C" w:rsidP="001F669C">
      <w:pPr>
        <w:jc w:val="both"/>
        <w:rPr>
          <w:sz w:val="32"/>
          <w:szCs w:val="32"/>
          <w:lang w:val="el-GR"/>
        </w:rPr>
      </w:pPr>
      <w:r w:rsidRPr="001F669C">
        <w:rPr>
          <w:sz w:val="32"/>
          <w:szCs w:val="32"/>
          <w:lang w:val="el-GR"/>
        </w:rPr>
        <w:t xml:space="preserve">Όλα τα φυσικά και νομικά πρόσωπα, καθώς και οι νομικές οντότητες του άρθρου </w:t>
      </w:r>
      <w:r>
        <w:rPr>
          <w:sz w:val="32"/>
          <w:szCs w:val="32"/>
          <w:lang w:val="el-GR"/>
        </w:rPr>
        <w:t xml:space="preserve"> </w:t>
      </w:r>
      <w:r w:rsidRPr="001F669C">
        <w:rPr>
          <w:sz w:val="32"/>
          <w:szCs w:val="32"/>
          <w:lang w:val="el-GR"/>
        </w:rPr>
        <w:t>3 του ΚΦΔ, ημεδαπά ή αλλοδαπά, τα οποία δεν έχουν προβεί σε διακοπή εργασιών.</w:t>
      </w:r>
      <w:r>
        <w:rPr>
          <w:sz w:val="32"/>
          <w:szCs w:val="32"/>
          <w:lang w:val="el-GR"/>
        </w:rPr>
        <w:t xml:space="preserve"> </w:t>
      </w:r>
    </w:p>
    <w:p w:rsidR="001F669C" w:rsidRDefault="001F669C" w:rsidP="001F669C">
      <w:pPr>
        <w:jc w:val="both"/>
        <w:rPr>
          <w:sz w:val="32"/>
          <w:szCs w:val="32"/>
          <w:lang w:val="el-GR"/>
        </w:rPr>
      </w:pPr>
      <w:r>
        <w:rPr>
          <w:sz w:val="32"/>
          <w:szCs w:val="32"/>
          <w:lang w:val="el-GR"/>
        </w:rPr>
        <w:t>Συνεπώς συμπεριλαμβάνονται όλοι οι δικηγόροι που έχουν προβεί σε έναρξη στην εφορία και δεν έχουν προβεί σε διακοπή εργασιών, καθώς και οι δικηγορικές εταιρείες. Δεν αφορά δικηγόρους που απασχολούνται αποκλειστικά με έμμισθη εντολή.</w:t>
      </w:r>
    </w:p>
    <w:p w:rsidR="001F669C" w:rsidRDefault="001F669C" w:rsidP="001F669C">
      <w:pPr>
        <w:jc w:val="both"/>
        <w:rPr>
          <w:sz w:val="32"/>
          <w:szCs w:val="32"/>
          <w:lang w:val="el-GR"/>
        </w:rPr>
      </w:pPr>
    </w:p>
    <w:p w:rsidR="001F669C" w:rsidRPr="001F669C" w:rsidRDefault="001F669C" w:rsidP="001F669C">
      <w:pPr>
        <w:jc w:val="both"/>
        <w:rPr>
          <w:b/>
          <w:sz w:val="32"/>
          <w:szCs w:val="32"/>
          <w:lang w:val="el-GR"/>
        </w:rPr>
      </w:pPr>
      <w:r>
        <w:rPr>
          <w:b/>
          <w:sz w:val="32"/>
          <w:szCs w:val="32"/>
          <w:lang w:val="el-GR"/>
        </w:rPr>
        <w:t xml:space="preserve">2. </w:t>
      </w:r>
      <w:r w:rsidRPr="001F669C">
        <w:rPr>
          <w:b/>
          <w:sz w:val="32"/>
          <w:szCs w:val="32"/>
          <w:lang w:val="el-GR"/>
        </w:rPr>
        <w:t xml:space="preserve">Πώς πραγματοποιείται η μετάβαση στους νέους ΚΑΔ; </w:t>
      </w:r>
    </w:p>
    <w:p w:rsidR="001F669C" w:rsidRDefault="001F669C" w:rsidP="001F669C">
      <w:pPr>
        <w:jc w:val="both"/>
        <w:rPr>
          <w:sz w:val="32"/>
          <w:szCs w:val="32"/>
          <w:lang w:val="el-GR"/>
        </w:rPr>
      </w:pPr>
      <w:r w:rsidRPr="001F669C">
        <w:rPr>
          <w:sz w:val="32"/>
          <w:szCs w:val="32"/>
          <w:lang w:val="el-GR"/>
        </w:rPr>
        <w:t>Κεντρικά και αυτοματοποιημένα από την ΑΑΔΕ, χωρίς να απαιτείται ενέργεια από τους φορολογούμενους, εκτός εάν επιθυμούν να προβούν σε διόρθωση ή αλλαγή των καταχωρημένων στοιχείων.</w:t>
      </w:r>
    </w:p>
    <w:p w:rsidR="001F669C" w:rsidRDefault="001F669C" w:rsidP="001F669C">
      <w:pPr>
        <w:jc w:val="both"/>
        <w:rPr>
          <w:sz w:val="32"/>
          <w:szCs w:val="32"/>
          <w:lang w:val="el-GR"/>
        </w:rPr>
      </w:pPr>
    </w:p>
    <w:p w:rsidR="001F669C" w:rsidRPr="001F669C" w:rsidRDefault="001F669C" w:rsidP="001F669C">
      <w:pPr>
        <w:jc w:val="both"/>
        <w:rPr>
          <w:b/>
          <w:sz w:val="32"/>
          <w:szCs w:val="32"/>
          <w:lang w:val="el-GR"/>
        </w:rPr>
      </w:pPr>
      <w:r>
        <w:rPr>
          <w:b/>
          <w:sz w:val="32"/>
          <w:szCs w:val="32"/>
          <w:lang w:val="el-GR"/>
        </w:rPr>
        <w:t xml:space="preserve">3. </w:t>
      </w:r>
      <w:r w:rsidRPr="001F669C">
        <w:rPr>
          <w:b/>
          <w:sz w:val="32"/>
          <w:szCs w:val="32"/>
          <w:lang w:val="el-GR"/>
        </w:rPr>
        <w:t xml:space="preserve">Πότε θα διενεργηθεί η αυτοματοποιημένη αντιστοίχιση ΚΑΔ; </w:t>
      </w:r>
    </w:p>
    <w:p w:rsidR="001F669C" w:rsidRDefault="001F669C" w:rsidP="001F669C">
      <w:pPr>
        <w:jc w:val="both"/>
        <w:rPr>
          <w:sz w:val="32"/>
          <w:szCs w:val="32"/>
          <w:lang w:val="el-GR"/>
        </w:rPr>
      </w:pPr>
      <w:r w:rsidRPr="001F669C">
        <w:rPr>
          <w:sz w:val="32"/>
          <w:szCs w:val="32"/>
          <w:lang w:val="el-GR"/>
        </w:rPr>
        <w:t>Ξεκίνησε</w:t>
      </w:r>
      <w:r w:rsidRPr="001F669C">
        <w:rPr>
          <w:sz w:val="32"/>
          <w:szCs w:val="32"/>
          <w:lang w:val="el-GR"/>
        </w:rPr>
        <w:t xml:space="preserve"> την 1η Μαρτίου 2026 και </w:t>
      </w:r>
      <w:proofErr w:type="spellStart"/>
      <w:r w:rsidRPr="001F669C">
        <w:rPr>
          <w:sz w:val="32"/>
          <w:szCs w:val="32"/>
          <w:lang w:val="el-GR"/>
        </w:rPr>
        <w:t>ολοκληρώθηκς</w:t>
      </w:r>
      <w:proofErr w:type="spellEnd"/>
      <w:r w:rsidRPr="001F669C">
        <w:rPr>
          <w:sz w:val="32"/>
          <w:szCs w:val="32"/>
          <w:lang w:val="el-GR"/>
        </w:rPr>
        <w:t xml:space="preserve"> το α’ δεκαήμερο Μαρτίου 2026. </w:t>
      </w:r>
    </w:p>
    <w:p w:rsidR="001F669C" w:rsidRDefault="001F669C" w:rsidP="001F669C">
      <w:pPr>
        <w:jc w:val="both"/>
        <w:rPr>
          <w:sz w:val="32"/>
          <w:szCs w:val="32"/>
          <w:lang w:val="el-GR"/>
        </w:rPr>
      </w:pPr>
    </w:p>
    <w:p w:rsidR="001F669C" w:rsidRPr="001F669C" w:rsidRDefault="001F669C" w:rsidP="001F669C">
      <w:pPr>
        <w:jc w:val="both"/>
        <w:rPr>
          <w:b/>
          <w:sz w:val="32"/>
          <w:szCs w:val="32"/>
          <w:lang w:val="el-GR"/>
        </w:rPr>
      </w:pPr>
      <w:r>
        <w:rPr>
          <w:b/>
          <w:sz w:val="32"/>
          <w:szCs w:val="32"/>
          <w:lang w:val="el-GR"/>
        </w:rPr>
        <w:t xml:space="preserve">4. </w:t>
      </w:r>
      <w:r w:rsidRPr="001F669C">
        <w:rPr>
          <w:b/>
          <w:sz w:val="32"/>
          <w:szCs w:val="32"/>
          <w:lang w:val="el-GR"/>
        </w:rPr>
        <w:t xml:space="preserve">Σε περίπτωση που μια υφιστάμενη δραστηριότητα αντιστοιχίζεται σε περισσότερους από έναν νέους ΚΑΔ, πώς ολοκληρώνεται η αντιστοίχιση; </w:t>
      </w:r>
    </w:p>
    <w:p w:rsidR="001F669C" w:rsidRPr="00DF78E4" w:rsidRDefault="001F669C" w:rsidP="001F669C">
      <w:pPr>
        <w:jc w:val="both"/>
        <w:rPr>
          <w:sz w:val="32"/>
          <w:szCs w:val="32"/>
          <w:lang w:val="el-GR"/>
        </w:rPr>
      </w:pPr>
      <w:r w:rsidRPr="00DF78E4">
        <w:rPr>
          <w:sz w:val="32"/>
          <w:szCs w:val="32"/>
          <w:lang w:val="el-GR"/>
        </w:rPr>
        <w:lastRenderedPageBreak/>
        <w:t xml:space="preserve">Διακρίνονται τρεις περιπτώσεις: </w:t>
      </w:r>
    </w:p>
    <w:p w:rsidR="001F669C" w:rsidRPr="00DF78E4" w:rsidRDefault="001F669C" w:rsidP="001F669C">
      <w:pPr>
        <w:jc w:val="both"/>
        <w:rPr>
          <w:sz w:val="32"/>
          <w:szCs w:val="32"/>
          <w:lang w:val="el-GR"/>
        </w:rPr>
      </w:pPr>
      <w:r w:rsidRPr="00DF78E4">
        <w:rPr>
          <w:sz w:val="32"/>
          <w:szCs w:val="32"/>
          <w:lang w:val="el-GR"/>
        </w:rPr>
        <w:t xml:space="preserve">α) Ο υφιστάμενος ΚΑΔ παραμένει και στη νέα ταξινόμηση: διατηρείται ως κύριος και οι επιπλέον ΚΑΔ δηλώνονται ως δευτερεύουσες δραστηριότητες.  </w:t>
      </w:r>
    </w:p>
    <w:p w:rsidR="001F669C" w:rsidRPr="00DF78E4" w:rsidRDefault="001F669C" w:rsidP="001F669C">
      <w:pPr>
        <w:jc w:val="both"/>
        <w:rPr>
          <w:sz w:val="32"/>
          <w:szCs w:val="32"/>
          <w:lang w:val="el-GR"/>
        </w:rPr>
      </w:pPr>
      <w:r w:rsidRPr="00DF78E4">
        <w:rPr>
          <w:sz w:val="32"/>
          <w:szCs w:val="32"/>
          <w:lang w:val="el-GR"/>
        </w:rPr>
        <w:t xml:space="preserve">β) Ο υφιστάμενος ΚΑΔ δεν παραμένει στη νέα ταξινόμηση: επιλέγεται ως κύριος ο πρώτος αριθμητικά ΚΑΔ, με την προϋπόθεση ότι παρουσιάζει τη μεγαλύτερη συνάφεια (κατόπιν εξέτασης των επεξηγηματικών σημειώσεων). Οι επιπλέον ΚΑΔ δηλώνονται ως δευτερεύουσες δραστηριότητες. </w:t>
      </w:r>
    </w:p>
    <w:p w:rsidR="001F669C" w:rsidRDefault="001F669C" w:rsidP="001F669C">
      <w:pPr>
        <w:jc w:val="both"/>
        <w:rPr>
          <w:sz w:val="32"/>
          <w:szCs w:val="32"/>
          <w:lang w:val="el-GR"/>
        </w:rPr>
      </w:pPr>
      <w:r w:rsidRPr="00DF78E4">
        <w:rPr>
          <w:sz w:val="32"/>
          <w:szCs w:val="32"/>
          <w:lang w:val="el-GR"/>
        </w:rPr>
        <w:t>γ) Ολική αναθεώρηση της ταξινόμησης των οικονομικών δραστηριοτήτων: επιλέγεται ο ΚΑΔ με την μεγαλύτερη συνάφεια με τον υφιστάμενο (βάσει των επεξηγηματικών σημειώσεων). Σε κάθε περίπτωση, οι φορολογούμενοι έχουν τη δυνατότητα, μετά την επισκόπηση της αντιστοίχισης, να προβούν σε διόρθωση ή αλλαγή των καταχωρημένων στοιχείων έως την 1η Ιουνίου 2026, χωρίς την επιβολή προστίμου.</w:t>
      </w:r>
    </w:p>
    <w:p w:rsidR="00DF78E4" w:rsidRDefault="00DF78E4" w:rsidP="001F669C">
      <w:pPr>
        <w:jc w:val="both"/>
        <w:rPr>
          <w:sz w:val="32"/>
          <w:szCs w:val="32"/>
          <w:u w:val="single"/>
          <w:lang w:val="el-GR"/>
        </w:rPr>
      </w:pPr>
      <w:r>
        <w:rPr>
          <w:sz w:val="32"/>
          <w:szCs w:val="32"/>
          <w:u w:val="single"/>
          <w:lang w:val="el-GR"/>
        </w:rPr>
        <w:t>Επισημαίνεται ότι τα ανωτέρω επί της αρχής δεν αφορούν δικηγόρους καθότι ο προηγούμενος ΚΑΔ αντιστοιχεί σε έναν νεότερο ΚΑΔ.</w:t>
      </w:r>
    </w:p>
    <w:p w:rsidR="00DF78E4" w:rsidRDefault="00DF78E4" w:rsidP="001F669C">
      <w:pPr>
        <w:jc w:val="both"/>
        <w:rPr>
          <w:sz w:val="32"/>
          <w:szCs w:val="32"/>
          <w:lang w:val="el-GR"/>
        </w:rPr>
      </w:pPr>
    </w:p>
    <w:p w:rsidR="00DF78E4" w:rsidRPr="00DF78E4" w:rsidRDefault="00DF78E4" w:rsidP="00DF78E4">
      <w:pPr>
        <w:jc w:val="both"/>
        <w:rPr>
          <w:b/>
          <w:sz w:val="32"/>
          <w:szCs w:val="32"/>
          <w:lang w:val="el-GR"/>
        </w:rPr>
      </w:pPr>
      <w:r>
        <w:rPr>
          <w:b/>
          <w:sz w:val="32"/>
          <w:szCs w:val="32"/>
          <w:lang w:val="el-GR"/>
        </w:rPr>
        <w:t xml:space="preserve">5. </w:t>
      </w:r>
      <w:r w:rsidRPr="00DF78E4">
        <w:rPr>
          <w:b/>
          <w:sz w:val="32"/>
          <w:szCs w:val="32"/>
          <w:lang w:val="el-GR"/>
        </w:rPr>
        <w:t xml:space="preserve">Ποιο είναι το χρονικό περιθώριο για την υποβολή δηλώσεων διόρθωσης ή αλλαγής των ΚΑΔ που προέκυψαν από την αυτόματη αντιστοίχιση, χωρίς την επιβολή προστίμου; </w:t>
      </w:r>
    </w:p>
    <w:p w:rsidR="00DF78E4" w:rsidRDefault="00DF78E4" w:rsidP="00DF78E4">
      <w:pPr>
        <w:jc w:val="both"/>
        <w:rPr>
          <w:sz w:val="32"/>
          <w:szCs w:val="32"/>
          <w:lang w:val="el-GR"/>
        </w:rPr>
      </w:pPr>
      <w:r w:rsidRPr="00DF78E4">
        <w:rPr>
          <w:sz w:val="32"/>
          <w:szCs w:val="32"/>
          <w:lang w:val="el-GR"/>
        </w:rPr>
        <w:t>Οι φορολογούμενοι μπορούν να προχωρήσουν σε διορθώσεις ή αλλαγές έως την 1η Ιουνίου 2026, με ημερομηνία δήλωσης την ημερομηνία της αυτόματης αντιστοίχισης. Μετά το πέρας της 1ης Ιουνίου 2026 επιβάλλονται οι κυρώσεις του άρθρου 53 του ΚΦΔ.</w:t>
      </w:r>
    </w:p>
    <w:p w:rsidR="00DF78E4" w:rsidRDefault="00DF78E4" w:rsidP="00DF78E4">
      <w:pPr>
        <w:jc w:val="both"/>
        <w:rPr>
          <w:sz w:val="32"/>
          <w:szCs w:val="32"/>
          <w:lang w:val="el-GR"/>
        </w:rPr>
      </w:pPr>
    </w:p>
    <w:p w:rsidR="00DF78E4" w:rsidRPr="00DF78E4" w:rsidRDefault="00DF78E4" w:rsidP="00DF78E4">
      <w:pPr>
        <w:jc w:val="both"/>
        <w:rPr>
          <w:b/>
          <w:sz w:val="32"/>
          <w:szCs w:val="32"/>
          <w:lang w:val="el-GR"/>
        </w:rPr>
      </w:pPr>
      <w:r>
        <w:rPr>
          <w:b/>
          <w:sz w:val="32"/>
          <w:szCs w:val="32"/>
          <w:lang w:val="el-GR"/>
        </w:rPr>
        <w:t xml:space="preserve">6. </w:t>
      </w:r>
      <w:r w:rsidRPr="00DF78E4">
        <w:rPr>
          <w:b/>
          <w:sz w:val="32"/>
          <w:szCs w:val="32"/>
          <w:lang w:val="el-GR"/>
        </w:rPr>
        <w:t xml:space="preserve">Μετά την ολοκλήρωση της αυτόματης αντιστοίχισης, πώς ενημερώνονται οι φορολογούμενοι; </w:t>
      </w:r>
    </w:p>
    <w:p w:rsidR="00DF78E4" w:rsidRDefault="00DF78E4" w:rsidP="00DF78E4">
      <w:pPr>
        <w:jc w:val="both"/>
        <w:rPr>
          <w:sz w:val="32"/>
          <w:szCs w:val="32"/>
          <w:lang w:val="el-GR"/>
        </w:rPr>
      </w:pPr>
      <w:r w:rsidRPr="00DF78E4">
        <w:rPr>
          <w:sz w:val="32"/>
          <w:szCs w:val="32"/>
          <w:lang w:val="el-GR"/>
        </w:rPr>
        <w:t xml:space="preserve">Οι φορολογούμενοι ενημερώνονται με μήνυμα που αναρτάται στον λογαριασμό τους, στην ψηφιακή πύλη </w:t>
      </w:r>
      <w:proofErr w:type="spellStart"/>
      <w:r w:rsidRPr="00DF78E4">
        <w:rPr>
          <w:sz w:val="32"/>
          <w:szCs w:val="32"/>
          <w:lang w:val="el-GR"/>
        </w:rPr>
        <w:t>myAADE</w:t>
      </w:r>
      <w:proofErr w:type="spellEnd"/>
      <w:r w:rsidRPr="00DF78E4">
        <w:rPr>
          <w:sz w:val="32"/>
          <w:szCs w:val="32"/>
          <w:lang w:val="el-GR"/>
        </w:rPr>
        <w:t xml:space="preserve"> (myaade.gov.gr), στη διαδρομή Μητρώο &amp; Επικοινωνία &gt; Τα Μηνύματά μου. </w:t>
      </w:r>
    </w:p>
    <w:p w:rsidR="00DF78E4" w:rsidRDefault="00DF78E4" w:rsidP="00DF78E4">
      <w:pPr>
        <w:jc w:val="both"/>
        <w:rPr>
          <w:sz w:val="32"/>
          <w:szCs w:val="32"/>
          <w:lang w:val="el-GR"/>
        </w:rPr>
      </w:pPr>
      <w:r w:rsidRPr="00DF78E4">
        <w:rPr>
          <w:sz w:val="32"/>
          <w:szCs w:val="32"/>
          <w:lang w:val="el-GR"/>
        </w:rPr>
        <w:t xml:space="preserve">Παράλληλα, λαμβάνουν σχετική ειδοποίηση στη διεύθυνση ηλεκτρονικού ταχυδρομείου που έχουν δηλώσει.  </w:t>
      </w:r>
    </w:p>
    <w:p w:rsidR="00DF78E4" w:rsidRDefault="00DF78E4" w:rsidP="00DF78E4">
      <w:pPr>
        <w:jc w:val="both"/>
        <w:rPr>
          <w:sz w:val="32"/>
          <w:szCs w:val="32"/>
          <w:lang w:val="el-GR"/>
        </w:rPr>
      </w:pPr>
      <w:r w:rsidRPr="00DF78E4">
        <w:rPr>
          <w:sz w:val="32"/>
          <w:szCs w:val="32"/>
          <w:lang w:val="el-GR"/>
        </w:rPr>
        <w:t xml:space="preserve">Δίνεται η δυνατότητα επισκόπησης των νέων ΚΑΔ στη ψηφιακή πύλη </w:t>
      </w:r>
      <w:proofErr w:type="spellStart"/>
      <w:r w:rsidRPr="00DF78E4">
        <w:rPr>
          <w:sz w:val="32"/>
          <w:szCs w:val="32"/>
          <w:lang w:val="el-GR"/>
        </w:rPr>
        <w:t>myAADE</w:t>
      </w:r>
      <w:proofErr w:type="spellEnd"/>
      <w:r w:rsidRPr="00DF78E4">
        <w:rPr>
          <w:sz w:val="32"/>
          <w:szCs w:val="32"/>
          <w:lang w:val="el-GR"/>
        </w:rPr>
        <w:t xml:space="preserve"> (myaade.gov.gr), στη διαδρομή: Μητρώο &amp; Επικοινωνία &gt; Βεβαιώσεις Μητρώου &gt; Τρέχουσα Εικόνα Οντότητας/Επιχείρησης.</w:t>
      </w:r>
    </w:p>
    <w:p w:rsidR="00DF78E4" w:rsidRPr="00DF78E4" w:rsidRDefault="00DF78E4" w:rsidP="00DF78E4">
      <w:pPr>
        <w:jc w:val="both"/>
        <w:rPr>
          <w:b/>
          <w:sz w:val="32"/>
          <w:szCs w:val="32"/>
          <w:u w:val="single"/>
          <w:lang w:val="el-GR"/>
        </w:rPr>
      </w:pPr>
      <w:r w:rsidRPr="00DF78E4">
        <w:rPr>
          <w:b/>
          <w:sz w:val="32"/>
          <w:szCs w:val="32"/>
          <w:u w:val="single"/>
          <w:lang w:val="el-GR"/>
        </w:rPr>
        <w:t>ΠΡΑΚΤΙΚΑ, οι δικηγόροι πρέπει να επιβεβαιώσουμε ότι έχουμε τον ΚΑΔ "ΝΟΜΙΚΕΣ ΔΡΑΣΤΗΡΙΟΤΗΤΕΣ" 69100000</w:t>
      </w:r>
    </w:p>
    <w:p w:rsidR="00DF78E4" w:rsidRDefault="00DF78E4" w:rsidP="00DF78E4">
      <w:pPr>
        <w:jc w:val="both"/>
        <w:rPr>
          <w:sz w:val="32"/>
          <w:szCs w:val="32"/>
          <w:lang w:val="el-GR"/>
        </w:rPr>
      </w:pPr>
    </w:p>
    <w:p w:rsidR="00DF78E4" w:rsidRPr="00DF78E4" w:rsidRDefault="00DF78E4" w:rsidP="00DF78E4">
      <w:pPr>
        <w:jc w:val="both"/>
        <w:rPr>
          <w:b/>
          <w:sz w:val="32"/>
          <w:szCs w:val="32"/>
          <w:lang w:val="el-GR"/>
        </w:rPr>
      </w:pPr>
      <w:r>
        <w:rPr>
          <w:b/>
          <w:sz w:val="32"/>
          <w:szCs w:val="32"/>
          <w:lang w:val="el-GR"/>
        </w:rPr>
        <w:t xml:space="preserve">7. </w:t>
      </w:r>
      <w:r w:rsidRPr="00DF78E4">
        <w:rPr>
          <w:b/>
          <w:sz w:val="32"/>
          <w:szCs w:val="32"/>
          <w:lang w:val="el-GR"/>
        </w:rPr>
        <w:t xml:space="preserve">Πώς υποβάλλεται η δήλωση μεταβολής/διόρθωσης των ΚΑΔ μετά την αυτόματη αντιστοίχιση; </w:t>
      </w:r>
    </w:p>
    <w:p w:rsidR="00DF78E4" w:rsidRDefault="00DF78E4" w:rsidP="00DF78E4">
      <w:pPr>
        <w:jc w:val="both"/>
        <w:rPr>
          <w:sz w:val="32"/>
          <w:szCs w:val="32"/>
          <w:lang w:val="el-GR"/>
        </w:rPr>
      </w:pPr>
      <w:r w:rsidRPr="00DF78E4">
        <w:rPr>
          <w:sz w:val="32"/>
          <w:szCs w:val="32"/>
          <w:lang w:val="el-GR"/>
        </w:rPr>
        <w:t xml:space="preserve">Μέσω της ψηφιακής πύλης </w:t>
      </w:r>
      <w:proofErr w:type="spellStart"/>
      <w:r w:rsidRPr="00DF78E4">
        <w:rPr>
          <w:sz w:val="32"/>
          <w:szCs w:val="32"/>
          <w:lang w:val="el-GR"/>
        </w:rPr>
        <w:t>myAADE</w:t>
      </w:r>
      <w:proofErr w:type="spellEnd"/>
      <w:r w:rsidRPr="00DF78E4">
        <w:rPr>
          <w:sz w:val="32"/>
          <w:szCs w:val="32"/>
          <w:lang w:val="el-GR"/>
        </w:rPr>
        <w:t xml:space="preserve"> (myaade.gov.gr) στη διαδρομή: Μητρώο &amp; Επικοινωνία &gt; Αλλαγή Στοιχείων Μητρώου &gt; Στοιχεία Επιχείρησης ή/και Στοιχεία Εγκατάστασης Εσωτερικού &gt; Νέα Δήλωση.</w:t>
      </w:r>
      <w:r>
        <w:rPr>
          <w:sz w:val="32"/>
          <w:szCs w:val="32"/>
          <w:lang w:val="el-GR"/>
        </w:rPr>
        <w:t xml:space="preserve"> </w:t>
      </w:r>
    </w:p>
    <w:p w:rsidR="00DF78E4" w:rsidRDefault="00DF78E4" w:rsidP="00DF78E4">
      <w:pPr>
        <w:jc w:val="both"/>
        <w:rPr>
          <w:sz w:val="32"/>
          <w:szCs w:val="32"/>
          <w:lang w:val="el-GR"/>
        </w:rPr>
      </w:pPr>
    </w:p>
    <w:p w:rsidR="00DF78E4" w:rsidRPr="00DF78E4" w:rsidRDefault="00DF78E4" w:rsidP="00DF78E4">
      <w:pPr>
        <w:jc w:val="both"/>
        <w:rPr>
          <w:b/>
          <w:sz w:val="32"/>
          <w:szCs w:val="32"/>
          <w:lang w:val="el-GR"/>
        </w:rPr>
      </w:pPr>
      <w:r>
        <w:rPr>
          <w:b/>
          <w:sz w:val="32"/>
          <w:szCs w:val="32"/>
          <w:lang w:val="el-GR"/>
        </w:rPr>
        <w:t>8.</w:t>
      </w:r>
      <w:r w:rsidRPr="00DF78E4">
        <w:rPr>
          <w:b/>
          <w:sz w:val="32"/>
          <w:szCs w:val="32"/>
          <w:lang w:val="el-GR"/>
        </w:rPr>
        <w:t xml:space="preserve"> Σε περίπτωση που δεν διενεργήθηκε η αυτόματη αντιστοίχιση, ενώ είχε γίνει η αντιστοίχιση ΚΑΔ 2008, πώς υποβάλλεται η δήλωση αντιστοίχισης νέων ΚΑΔ 2025;</w:t>
      </w:r>
    </w:p>
    <w:p w:rsidR="00DF78E4" w:rsidRPr="00DF78E4" w:rsidRDefault="00DF78E4" w:rsidP="00DF78E4">
      <w:pPr>
        <w:jc w:val="both"/>
        <w:rPr>
          <w:b/>
          <w:sz w:val="32"/>
          <w:szCs w:val="32"/>
          <w:lang w:val="el-GR"/>
        </w:rPr>
      </w:pPr>
    </w:p>
    <w:p w:rsidR="00DF78E4" w:rsidRPr="00315322" w:rsidRDefault="00DF78E4" w:rsidP="00DF78E4">
      <w:pPr>
        <w:jc w:val="both"/>
        <w:rPr>
          <w:sz w:val="32"/>
          <w:szCs w:val="32"/>
          <w:lang w:val="el-GR"/>
        </w:rPr>
      </w:pPr>
      <w:r w:rsidRPr="00315322">
        <w:rPr>
          <w:sz w:val="32"/>
          <w:szCs w:val="32"/>
          <w:lang w:val="el-GR"/>
        </w:rPr>
        <w:t xml:space="preserve">Κατόπιν ειδοποίησης του φορολογούμενου, υποβάλλεται αίτημα έως την 1η Ιουνίου 2026, χωρίς την επιβολή προστίμου, μέσω της Εφαρμογής Ψηφιακής Υποδοχής και Διαχείρισης Αιτημάτων «Τα Αιτήματά μου» της ψηφιακής πύλης </w:t>
      </w:r>
      <w:proofErr w:type="spellStart"/>
      <w:r w:rsidRPr="00315322">
        <w:rPr>
          <w:sz w:val="32"/>
          <w:szCs w:val="32"/>
        </w:rPr>
        <w:t>myAADE</w:t>
      </w:r>
      <w:proofErr w:type="spellEnd"/>
      <w:r w:rsidRPr="00315322">
        <w:rPr>
          <w:sz w:val="32"/>
          <w:szCs w:val="32"/>
          <w:lang w:val="el-GR"/>
        </w:rPr>
        <w:t xml:space="preserve"> (</w:t>
      </w:r>
      <w:hyperlink r:id="rId4" w:tgtFrame="_blank" w:history="1">
        <w:proofErr w:type="spellStart"/>
        <w:r w:rsidRPr="00315322">
          <w:rPr>
            <w:rStyle w:val="Hyperlink"/>
            <w:sz w:val="32"/>
            <w:szCs w:val="32"/>
          </w:rPr>
          <w:t>myaade</w:t>
        </w:r>
        <w:proofErr w:type="spellEnd"/>
        <w:r w:rsidRPr="00315322">
          <w:rPr>
            <w:rStyle w:val="Hyperlink"/>
            <w:sz w:val="32"/>
            <w:szCs w:val="32"/>
            <w:lang w:val="el-GR"/>
          </w:rPr>
          <w:t>.</w:t>
        </w:r>
        <w:r w:rsidRPr="00315322">
          <w:rPr>
            <w:rStyle w:val="Hyperlink"/>
            <w:sz w:val="32"/>
            <w:szCs w:val="32"/>
          </w:rPr>
          <w:t>gov</w:t>
        </w:r>
        <w:r w:rsidRPr="00315322">
          <w:rPr>
            <w:rStyle w:val="Hyperlink"/>
            <w:sz w:val="32"/>
            <w:szCs w:val="32"/>
            <w:lang w:val="el-GR"/>
          </w:rPr>
          <w:t>.</w:t>
        </w:r>
        <w:r w:rsidRPr="00315322">
          <w:rPr>
            <w:rStyle w:val="Hyperlink"/>
            <w:sz w:val="32"/>
            <w:szCs w:val="32"/>
          </w:rPr>
          <w:t>gr</w:t>
        </w:r>
      </w:hyperlink>
      <w:r w:rsidRPr="00315322">
        <w:rPr>
          <w:sz w:val="32"/>
          <w:szCs w:val="32"/>
          <w:lang w:val="el-GR"/>
        </w:rPr>
        <w:t>), στη θεματική ενότητα Μητρώο, επιλέγοντας:</w:t>
      </w:r>
    </w:p>
    <w:p w:rsidR="00DF78E4" w:rsidRPr="00DF78E4" w:rsidRDefault="00DF78E4" w:rsidP="00DF78E4">
      <w:pPr>
        <w:jc w:val="both"/>
        <w:rPr>
          <w:b/>
          <w:sz w:val="32"/>
          <w:szCs w:val="32"/>
          <w:lang w:val="el-GR"/>
        </w:rPr>
      </w:pPr>
    </w:p>
    <w:p w:rsidR="00DF78E4" w:rsidRPr="00315322" w:rsidRDefault="00DF78E4" w:rsidP="00DF78E4">
      <w:pPr>
        <w:jc w:val="both"/>
        <w:rPr>
          <w:sz w:val="32"/>
          <w:szCs w:val="32"/>
          <w:lang w:val="el-GR"/>
        </w:rPr>
      </w:pPr>
      <w:r w:rsidRPr="00315322">
        <w:rPr>
          <w:sz w:val="32"/>
          <w:szCs w:val="32"/>
          <w:lang w:val="el-GR"/>
        </w:rPr>
        <w:t xml:space="preserve">α) Για τα φυσικά πρόσωπα: Μεταβολή εργασιών φυσικού προσώπου που δεν δύναται να ολοκληρωθεί μέσω της Ψηφιακής Πύλης </w:t>
      </w:r>
      <w:proofErr w:type="spellStart"/>
      <w:r w:rsidRPr="00315322">
        <w:rPr>
          <w:sz w:val="32"/>
          <w:szCs w:val="32"/>
        </w:rPr>
        <w:t>myAADE</w:t>
      </w:r>
      <w:proofErr w:type="spellEnd"/>
      <w:r w:rsidRPr="00315322">
        <w:rPr>
          <w:sz w:val="32"/>
          <w:szCs w:val="32"/>
          <w:lang w:val="el-GR"/>
        </w:rPr>
        <w:t>.</w:t>
      </w:r>
    </w:p>
    <w:p w:rsidR="00DF78E4" w:rsidRPr="00315322" w:rsidRDefault="00DF78E4" w:rsidP="00DF78E4">
      <w:pPr>
        <w:jc w:val="both"/>
        <w:rPr>
          <w:sz w:val="32"/>
          <w:szCs w:val="32"/>
          <w:lang w:val="el-GR"/>
        </w:rPr>
      </w:pPr>
      <w:r w:rsidRPr="00315322">
        <w:rPr>
          <w:sz w:val="32"/>
          <w:szCs w:val="32"/>
          <w:lang w:val="el-GR"/>
        </w:rPr>
        <w:t xml:space="preserve">β) Για </w:t>
      </w:r>
      <w:r w:rsidR="00315322" w:rsidRPr="00315322">
        <w:rPr>
          <w:sz w:val="32"/>
          <w:szCs w:val="32"/>
          <w:lang w:val="el-GR"/>
        </w:rPr>
        <w:t>τις δικηγορικές εταιρείες</w:t>
      </w:r>
      <w:r w:rsidRPr="00315322">
        <w:rPr>
          <w:sz w:val="32"/>
          <w:szCs w:val="32"/>
          <w:lang w:val="el-GR"/>
        </w:rPr>
        <w:t xml:space="preserve">: Μεταβολή εργασιών ημεδαπών/αλλοδαπών νομικών προσώπων και νομικών οντοτήτων που δεν δύναται να ολοκληρωθεί μέσω της Ψηφιακής Πύλης </w:t>
      </w:r>
      <w:proofErr w:type="spellStart"/>
      <w:r w:rsidRPr="00315322">
        <w:rPr>
          <w:sz w:val="32"/>
          <w:szCs w:val="32"/>
        </w:rPr>
        <w:t>myAADE</w:t>
      </w:r>
      <w:proofErr w:type="spellEnd"/>
      <w:r w:rsidRPr="00315322">
        <w:rPr>
          <w:sz w:val="32"/>
          <w:szCs w:val="32"/>
          <w:lang w:val="el-GR"/>
        </w:rPr>
        <w:t>.</w:t>
      </w:r>
    </w:p>
    <w:p w:rsidR="00DF78E4" w:rsidRPr="00315322" w:rsidRDefault="00DF78E4" w:rsidP="00DF78E4">
      <w:pPr>
        <w:jc w:val="both"/>
        <w:rPr>
          <w:sz w:val="32"/>
          <w:szCs w:val="32"/>
          <w:lang w:val="el-GR"/>
        </w:rPr>
      </w:pPr>
      <w:r w:rsidRPr="00315322">
        <w:rPr>
          <w:sz w:val="32"/>
          <w:szCs w:val="32"/>
          <w:lang w:val="el-GR"/>
        </w:rPr>
        <w:t>Κατά την ψηφιακή υποβολή, θα πρέπει να επισυνάπτεται η σχετική δήλωση Μητρώου (έντυπο Δ211), καθώς και τα κατά περίπτωση απαιτούμενα δικαιολογητικά τεκμηρίωσης δραστηριότητας.</w:t>
      </w:r>
    </w:p>
    <w:p w:rsidR="00DF78E4" w:rsidRPr="00DF78E4" w:rsidRDefault="00DF78E4" w:rsidP="00DF78E4">
      <w:pPr>
        <w:jc w:val="both"/>
        <w:rPr>
          <w:b/>
          <w:sz w:val="32"/>
          <w:szCs w:val="32"/>
          <w:lang w:val="el-GR"/>
        </w:rPr>
      </w:pPr>
    </w:p>
    <w:p w:rsidR="00DF78E4" w:rsidRPr="00DF78E4" w:rsidRDefault="00DF78E4" w:rsidP="00DF78E4">
      <w:pPr>
        <w:jc w:val="both"/>
        <w:rPr>
          <w:b/>
          <w:sz w:val="32"/>
          <w:szCs w:val="32"/>
          <w:lang w:val="el-GR"/>
        </w:rPr>
      </w:pPr>
      <w:r w:rsidRPr="00DF78E4">
        <w:rPr>
          <w:b/>
          <w:sz w:val="32"/>
          <w:szCs w:val="32"/>
          <w:lang w:val="el-GR"/>
        </w:rPr>
        <w:t>9. Τι γίνεται στην περίπτωση που δεν έχει προηγηθεί αντιστοίχιση των ΚΑΔ 1997 με τους ΚΑΔ 2008;</w:t>
      </w:r>
    </w:p>
    <w:p w:rsidR="00DF78E4" w:rsidRPr="00315322" w:rsidRDefault="00DF78E4" w:rsidP="00DF78E4">
      <w:pPr>
        <w:jc w:val="both"/>
        <w:rPr>
          <w:sz w:val="32"/>
          <w:szCs w:val="32"/>
          <w:lang w:val="el-GR"/>
        </w:rPr>
      </w:pPr>
      <w:r w:rsidRPr="00315322">
        <w:rPr>
          <w:sz w:val="32"/>
          <w:szCs w:val="32"/>
          <w:lang w:val="el-GR"/>
        </w:rPr>
        <w:t>Θα αντικατασταθούν με ορισμένο ειδικό ΚΑΔ.</w:t>
      </w:r>
    </w:p>
    <w:p w:rsidR="00315322" w:rsidRDefault="00315322" w:rsidP="00DF78E4">
      <w:pPr>
        <w:jc w:val="both"/>
        <w:rPr>
          <w:b/>
          <w:sz w:val="32"/>
          <w:szCs w:val="32"/>
          <w:lang w:val="el-GR"/>
        </w:rPr>
      </w:pPr>
    </w:p>
    <w:p w:rsidR="00DF78E4" w:rsidRPr="00DF78E4" w:rsidRDefault="00DF78E4" w:rsidP="00DF78E4">
      <w:pPr>
        <w:jc w:val="both"/>
        <w:rPr>
          <w:b/>
          <w:sz w:val="32"/>
          <w:szCs w:val="32"/>
          <w:lang w:val="el-GR"/>
        </w:rPr>
      </w:pPr>
      <w:r w:rsidRPr="00DF78E4">
        <w:rPr>
          <w:b/>
          <w:sz w:val="32"/>
          <w:szCs w:val="32"/>
          <w:lang w:val="el-GR"/>
        </w:rPr>
        <w:t>10. Πώς υποβάλλονται τα αιτήματα που αφορούν αναδρομικές μεταβολές ΚΑΔ μέχρι και την 28η Φεβρουαρίου 2026, μετά την 1η Μαρτίου 2026;</w:t>
      </w:r>
    </w:p>
    <w:p w:rsidR="00DF78E4" w:rsidRPr="00315322" w:rsidRDefault="00DF78E4" w:rsidP="00DF78E4">
      <w:pPr>
        <w:jc w:val="both"/>
        <w:rPr>
          <w:sz w:val="32"/>
          <w:szCs w:val="32"/>
          <w:lang w:val="el-GR"/>
        </w:rPr>
      </w:pPr>
      <w:bookmarkStart w:id="0" w:name="_GoBack"/>
      <w:r w:rsidRPr="00315322">
        <w:rPr>
          <w:sz w:val="32"/>
          <w:szCs w:val="32"/>
          <w:lang w:val="el-GR"/>
        </w:rPr>
        <w:lastRenderedPageBreak/>
        <w:t xml:space="preserve">Μέσω της Εφαρμογής Ψηφιακής Υποδοχής και Διαχείρισης Αιτημάτων «Τα Αιτήματά μου» της ψηφιακής πύλης </w:t>
      </w:r>
      <w:proofErr w:type="spellStart"/>
      <w:r w:rsidRPr="00315322">
        <w:rPr>
          <w:sz w:val="32"/>
          <w:szCs w:val="32"/>
        </w:rPr>
        <w:t>myAADE</w:t>
      </w:r>
      <w:proofErr w:type="spellEnd"/>
      <w:r w:rsidRPr="00315322">
        <w:rPr>
          <w:sz w:val="32"/>
          <w:szCs w:val="32"/>
          <w:lang w:val="el-GR"/>
        </w:rPr>
        <w:t xml:space="preserve"> (</w:t>
      </w:r>
      <w:hyperlink r:id="rId5" w:tgtFrame="_blank" w:history="1">
        <w:proofErr w:type="spellStart"/>
        <w:r w:rsidRPr="00315322">
          <w:rPr>
            <w:rStyle w:val="Hyperlink"/>
            <w:sz w:val="32"/>
            <w:szCs w:val="32"/>
          </w:rPr>
          <w:t>myaade</w:t>
        </w:r>
        <w:proofErr w:type="spellEnd"/>
        <w:r w:rsidRPr="00315322">
          <w:rPr>
            <w:rStyle w:val="Hyperlink"/>
            <w:sz w:val="32"/>
            <w:szCs w:val="32"/>
            <w:lang w:val="el-GR"/>
          </w:rPr>
          <w:t>.</w:t>
        </w:r>
        <w:r w:rsidRPr="00315322">
          <w:rPr>
            <w:rStyle w:val="Hyperlink"/>
            <w:sz w:val="32"/>
            <w:szCs w:val="32"/>
          </w:rPr>
          <w:t>gov</w:t>
        </w:r>
        <w:r w:rsidRPr="00315322">
          <w:rPr>
            <w:rStyle w:val="Hyperlink"/>
            <w:sz w:val="32"/>
            <w:szCs w:val="32"/>
            <w:lang w:val="el-GR"/>
          </w:rPr>
          <w:t>.</w:t>
        </w:r>
        <w:r w:rsidRPr="00315322">
          <w:rPr>
            <w:rStyle w:val="Hyperlink"/>
            <w:sz w:val="32"/>
            <w:szCs w:val="32"/>
          </w:rPr>
          <w:t>gr</w:t>
        </w:r>
      </w:hyperlink>
      <w:r w:rsidRPr="00315322">
        <w:rPr>
          <w:sz w:val="32"/>
          <w:szCs w:val="32"/>
          <w:lang w:val="el-GR"/>
        </w:rPr>
        <w:t>), στη θεματική ενότητα Μητρώο, επιλέγοντας:</w:t>
      </w:r>
    </w:p>
    <w:p w:rsidR="00DF78E4" w:rsidRPr="00315322" w:rsidRDefault="00DF78E4" w:rsidP="00DF78E4">
      <w:pPr>
        <w:jc w:val="both"/>
        <w:rPr>
          <w:sz w:val="32"/>
          <w:szCs w:val="32"/>
          <w:lang w:val="el-GR"/>
        </w:rPr>
      </w:pPr>
      <w:r w:rsidRPr="00315322">
        <w:rPr>
          <w:sz w:val="32"/>
          <w:szCs w:val="32"/>
          <w:lang w:val="el-GR"/>
        </w:rPr>
        <w:t xml:space="preserve">α) Για τα φυσικά πρόσωπα: Μεταβολή εργασιών φυσικού προσώπου που δεν δύναται να ολοκληρωθεί μέσω της Ψηφιακής Πύλης </w:t>
      </w:r>
      <w:proofErr w:type="spellStart"/>
      <w:r w:rsidRPr="00315322">
        <w:rPr>
          <w:sz w:val="32"/>
          <w:szCs w:val="32"/>
        </w:rPr>
        <w:t>myAADE</w:t>
      </w:r>
      <w:proofErr w:type="spellEnd"/>
      <w:r w:rsidRPr="00315322">
        <w:rPr>
          <w:sz w:val="32"/>
          <w:szCs w:val="32"/>
          <w:lang w:val="el-GR"/>
        </w:rPr>
        <w:t>.</w:t>
      </w:r>
    </w:p>
    <w:p w:rsidR="00DF78E4" w:rsidRPr="00315322" w:rsidRDefault="00DF78E4" w:rsidP="00DF78E4">
      <w:pPr>
        <w:jc w:val="both"/>
        <w:rPr>
          <w:sz w:val="32"/>
          <w:szCs w:val="32"/>
          <w:lang w:val="el-GR"/>
        </w:rPr>
      </w:pPr>
      <w:r w:rsidRPr="00315322">
        <w:rPr>
          <w:sz w:val="32"/>
          <w:szCs w:val="32"/>
          <w:lang w:val="el-GR"/>
        </w:rPr>
        <w:t>β) Για τα νομικά πρόσωπα/νομικές οντότητες: Μεταβολή εργασιών</w:t>
      </w:r>
    </w:p>
    <w:p w:rsidR="00DF78E4" w:rsidRPr="00315322" w:rsidRDefault="00DF78E4" w:rsidP="00DF78E4">
      <w:pPr>
        <w:jc w:val="both"/>
        <w:rPr>
          <w:sz w:val="32"/>
          <w:szCs w:val="32"/>
          <w:lang w:val="el-GR"/>
        </w:rPr>
      </w:pPr>
      <w:r w:rsidRPr="00315322">
        <w:rPr>
          <w:sz w:val="32"/>
          <w:szCs w:val="32"/>
          <w:lang w:val="el-GR"/>
        </w:rPr>
        <w:t xml:space="preserve">ημεδαπών/αλλοδαπών νομικών προσώπων και νομικών οντοτήτων που δεν δύναται να ολοκληρωθεί μέσω της Ψηφιακής Πύλης </w:t>
      </w:r>
      <w:proofErr w:type="spellStart"/>
      <w:r w:rsidRPr="00315322">
        <w:rPr>
          <w:sz w:val="32"/>
          <w:szCs w:val="32"/>
        </w:rPr>
        <w:t>myAADE</w:t>
      </w:r>
      <w:proofErr w:type="spellEnd"/>
      <w:r w:rsidRPr="00315322">
        <w:rPr>
          <w:sz w:val="32"/>
          <w:szCs w:val="32"/>
          <w:lang w:val="el-GR"/>
        </w:rPr>
        <w:t>.</w:t>
      </w:r>
    </w:p>
    <w:p w:rsidR="00DF78E4" w:rsidRPr="00315322" w:rsidRDefault="00DF78E4" w:rsidP="00DF78E4">
      <w:pPr>
        <w:jc w:val="both"/>
        <w:rPr>
          <w:sz w:val="32"/>
          <w:szCs w:val="32"/>
          <w:lang w:val="el-GR"/>
        </w:rPr>
      </w:pPr>
    </w:p>
    <w:p w:rsidR="00DF78E4" w:rsidRPr="00315322" w:rsidRDefault="00DF78E4" w:rsidP="00DF78E4">
      <w:pPr>
        <w:jc w:val="both"/>
        <w:rPr>
          <w:sz w:val="32"/>
          <w:szCs w:val="32"/>
          <w:lang w:val="el-GR"/>
        </w:rPr>
      </w:pPr>
      <w:r w:rsidRPr="00315322">
        <w:rPr>
          <w:sz w:val="32"/>
          <w:szCs w:val="32"/>
          <w:lang w:val="el-GR"/>
        </w:rPr>
        <w:t>Κατά την ψηφιακή υποβολή θα πρέπει να επισυνάπτεται η σχετική δήλωση Μητρώου (έντυπο Δ211), καθώς και τα κατά περίπτωση απαιτούμενα δικαιολογητικά τεκμηρίωσης δραστηριότητας.</w:t>
      </w:r>
    </w:p>
    <w:bookmarkEnd w:id="0"/>
    <w:p w:rsidR="00DF78E4" w:rsidRPr="00DF78E4" w:rsidRDefault="00DF78E4" w:rsidP="00DF78E4">
      <w:pPr>
        <w:jc w:val="both"/>
        <w:rPr>
          <w:b/>
          <w:sz w:val="32"/>
          <w:szCs w:val="32"/>
          <w:lang w:val="el-GR"/>
        </w:rPr>
      </w:pPr>
    </w:p>
    <w:sectPr w:rsidR="00DF78E4" w:rsidRPr="00DF78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C"/>
    <w:rsid w:val="001F669C"/>
    <w:rsid w:val="00315322"/>
    <w:rsid w:val="004E607C"/>
    <w:rsid w:val="00D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96A4"/>
  <w15:chartTrackingRefBased/>
  <w15:docId w15:val="{9A17C5C8-4435-4B08-8CB4-305C0757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69C"/>
    <w:pPr>
      <w:ind w:left="720"/>
      <w:contextualSpacing/>
    </w:pPr>
  </w:style>
  <w:style w:type="character" w:styleId="Hyperlink">
    <w:name w:val="Hyperlink"/>
    <w:basedOn w:val="DefaultParagraphFont"/>
    <w:uiPriority w:val="99"/>
    <w:unhideWhenUsed/>
    <w:rsid w:val="00DF78E4"/>
    <w:rPr>
      <w:color w:val="0563C1" w:themeColor="hyperlink"/>
      <w:u w:val="single"/>
    </w:rPr>
  </w:style>
  <w:style w:type="character" w:styleId="UnresolvedMention">
    <w:name w:val="Unresolved Mention"/>
    <w:basedOn w:val="DefaultParagraphFont"/>
    <w:uiPriority w:val="99"/>
    <w:semiHidden/>
    <w:unhideWhenUsed/>
    <w:rsid w:val="00DF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4308">
      <w:bodyDiv w:val="1"/>
      <w:marLeft w:val="0"/>
      <w:marRight w:val="0"/>
      <w:marTop w:val="0"/>
      <w:marBottom w:val="0"/>
      <w:divBdr>
        <w:top w:val="none" w:sz="0" w:space="0" w:color="auto"/>
        <w:left w:val="none" w:sz="0" w:space="0" w:color="auto"/>
        <w:bottom w:val="none" w:sz="0" w:space="0" w:color="auto"/>
        <w:right w:val="none" w:sz="0" w:space="0" w:color="auto"/>
      </w:divBdr>
      <w:divsChild>
        <w:div w:id="831674460">
          <w:marLeft w:val="0"/>
          <w:marRight w:val="0"/>
          <w:marTop w:val="0"/>
          <w:marBottom w:val="0"/>
          <w:divBdr>
            <w:top w:val="none" w:sz="0" w:space="0" w:color="auto"/>
            <w:left w:val="none" w:sz="0" w:space="0" w:color="auto"/>
            <w:bottom w:val="none" w:sz="0" w:space="0" w:color="auto"/>
            <w:right w:val="none" w:sz="0" w:space="0" w:color="auto"/>
          </w:divBdr>
        </w:div>
        <w:div w:id="1680739419">
          <w:marLeft w:val="0"/>
          <w:marRight w:val="0"/>
          <w:marTop w:val="0"/>
          <w:marBottom w:val="0"/>
          <w:divBdr>
            <w:top w:val="none" w:sz="0" w:space="0" w:color="auto"/>
            <w:left w:val="none" w:sz="0" w:space="0" w:color="auto"/>
            <w:bottom w:val="none" w:sz="0" w:space="0" w:color="auto"/>
            <w:right w:val="none" w:sz="0" w:space="0" w:color="auto"/>
          </w:divBdr>
        </w:div>
        <w:div w:id="391656720">
          <w:marLeft w:val="0"/>
          <w:marRight w:val="0"/>
          <w:marTop w:val="0"/>
          <w:marBottom w:val="0"/>
          <w:divBdr>
            <w:top w:val="none" w:sz="0" w:space="0" w:color="auto"/>
            <w:left w:val="none" w:sz="0" w:space="0" w:color="auto"/>
            <w:bottom w:val="none" w:sz="0" w:space="0" w:color="auto"/>
            <w:right w:val="none" w:sz="0" w:space="0" w:color="auto"/>
          </w:divBdr>
        </w:div>
        <w:div w:id="1066873682">
          <w:marLeft w:val="0"/>
          <w:marRight w:val="0"/>
          <w:marTop w:val="0"/>
          <w:marBottom w:val="0"/>
          <w:divBdr>
            <w:top w:val="none" w:sz="0" w:space="0" w:color="auto"/>
            <w:left w:val="none" w:sz="0" w:space="0" w:color="auto"/>
            <w:bottom w:val="none" w:sz="0" w:space="0" w:color="auto"/>
            <w:right w:val="none" w:sz="0" w:space="0" w:color="auto"/>
          </w:divBdr>
        </w:div>
        <w:div w:id="1792280507">
          <w:marLeft w:val="0"/>
          <w:marRight w:val="0"/>
          <w:marTop w:val="0"/>
          <w:marBottom w:val="0"/>
          <w:divBdr>
            <w:top w:val="none" w:sz="0" w:space="0" w:color="auto"/>
            <w:left w:val="none" w:sz="0" w:space="0" w:color="auto"/>
            <w:bottom w:val="none" w:sz="0" w:space="0" w:color="auto"/>
            <w:right w:val="none" w:sz="0" w:space="0" w:color="auto"/>
          </w:divBdr>
        </w:div>
        <w:div w:id="384719876">
          <w:marLeft w:val="0"/>
          <w:marRight w:val="0"/>
          <w:marTop w:val="0"/>
          <w:marBottom w:val="0"/>
          <w:divBdr>
            <w:top w:val="none" w:sz="0" w:space="0" w:color="auto"/>
            <w:left w:val="none" w:sz="0" w:space="0" w:color="auto"/>
            <w:bottom w:val="none" w:sz="0" w:space="0" w:color="auto"/>
            <w:right w:val="none" w:sz="0" w:space="0" w:color="auto"/>
          </w:divBdr>
        </w:div>
        <w:div w:id="947587003">
          <w:marLeft w:val="0"/>
          <w:marRight w:val="0"/>
          <w:marTop w:val="0"/>
          <w:marBottom w:val="0"/>
          <w:divBdr>
            <w:top w:val="none" w:sz="0" w:space="0" w:color="auto"/>
            <w:left w:val="none" w:sz="0" w:space="0" w:color="auto"/>
            <w:bottom w:val="none" w:sz="0" w:space="0" w:color="auto"/>
            <w:right w:val="none" w:sz="0" w:space="0" w:color="auto"/>
          </w:divBdr>
        </w:div>
        <w:div w:id="412363567">
          <w:marLeft w:val="0"/>
          <w:marRight w:val="0"/>
          <w:marTop w:val="0"/>
          <w:marBottom w:val="0"/>
          <w:divBdr>
            <w:top w:val="none" w:sz="0" w:space="0" w:color="auto"/>
            <w:left w:val="none" w:sz="0" w:space="0" w:color="auto"/>
            <w:bottom w:val="none" w:sz="0" w:space="0" w:color="auto"/>
            <w:right w:val="none" w:sz="0" w:space="0" w:color="auto"/>
          </w:divBdr>
        </w:div>
        <w:div w:id="1128470103">
          <w:marLeft w:val="0"/>
          <w:marRight w:val="0"/>
          <w:marTop w:val="0"/>
          <w:marBottom w:val="0"/>
          <w:divBdr>
            <w:top w:val="none" w:sz="0" w:space="0" w:color="auto"/>
            <w:left w:val="none" w:sz="0" w:space="0" w:color="auto"/>
            <w:bottom w:val="none" w:sz="0" w:space="0" w:color="auto"/>
            <w:right w:val="none" w:sz="0" w:space="0" w:color="auto"/>
          </w:divBdr>
        </w:div>
        <w:div w:id="578292700">
          <w:marLeft w:val="0"/>
          <w:marRight w:val="0"/>
          <w:marTop w:val="0"/>
          <w:marBottom w:val="0"/>
          <w:divBdr>
            <w:top w:val="none" w:sz="0" w:space="0" w:color="auto"/>
            <w:left w:val="none" w:sz="0" w:space="0" w:color="auto"/>
            <w:bottom w:val="none" w:sz="0" w:space="0" w:color="auto"/>
            <w:right w:val="none" w:sz="0" w:space="0" w:color="auto"/>
          </w:divBdr>
        </w:div>
        <w:div w:id="1957445853">
          <w:marLeft w:val="0"/>
          <w:marRight w:val="0"/>
          <w:marTop w:val="0"/>
          <w:marBottom w:val="0"/>
          <w:divBdr>
            <w:top w:val="none" w:sz="0" w:space="0" w:color="auto"/>
            <w:left w:val="none" w:sz="0" w:space="0" w:color="auto"/>
            <w:bottom w:val="none" w:sz="0" w:space="0" w:color="auto"/>
            <w:right w:val="none" w:sz="0" w:space="0" w:color="auto"/>
          </w:divBdr>
        </w:div>
        <w:div w:id="135613310">
          <w:marLeft w:val="0"/>
          <w:marRight w:val="0"/>
          <w:marTop w:val="0"/>
          <w:marBottom w:val="0"/>
          <w:divBdr>
            <w:top w:val="none" w:sz="0" w:space="0" w:color="auto"/>
            <w:left w:val="none" w:sz="0" w:space="0" w:color="auto"/>
            <w:bottom w:val="none" w:sz="0" w:space="0" w:color="auto"/>
            <w:right w:val="none" w:sz="0" w:space="0" w:color="auto"/>
          </w:divBdr>
        </w:div>
        <w:div w:id="948509211">
          <w:marLeft w:val="0"/>
          <w:marRight w:val="0"/>
          <w:marTop w:val="0"/>
          <w:marBottom w:val="0"/>
          <w:divBdr>
            <w:top w:val="none" w:sz="0" w:space="0" w:color="auto"/>
            <w:left w:val="none" w:sz="0" w:space="0" w:color="auto"/>
            <w:bottom w:val="none" w:sz="0" w:space="0" w:color="auto"/>
            <w:right w:val="none" w:sz="0" w:space="0" w:color="auto"/>
          </w:divBdr>
        </w:div>
        <w:div w:id="251934761">
          <w:marLeft w:val="0"/>
          <w:marRight w:val="0"/>
          <w:marTop w:val="0"/>
          <w:marBottom w:val="0"/>
          <w:divBdr>
            <w:top w:val="none" w:sz="0" w:space="0" w:color="auto"/>
            <w:left w:val="none" w:sz="0" w:space="0" w:color="auto"/>
            <w:bottom w:val="none" w:sz="0" w:space="0" w:color="auto"/>
            <w:right w:val="none" w:sz="0" w:space="0" w:color="auto"/>
          </w:divBdr>
        </w:div>
        <w:div w:id="640889374">
          <w:marLeft w:val="0"/>
          <w:marRight w:val="0"/>
          <w:marTop w:val="0"/>
          <w:marBottom w:val="0"/>
          <w:divBdr>
            <w:top w:val="none" w:sz="0" w:space="0" w:color="auto"/>
            <w:left w:val="none" w:sz="0" w:space="0" w:color="auto"/>
            <w:bottom w:val="none" w:sz="0" w:space="0" w:color="auto"/>
            <w:right w:val="none" w:sz="0" w:space="0" w:color="auto"/>
          </w:divBdr>
        </w:div>
        <w:div w:id="858157545">
          <w:marLeft w:val="0"/>
          <w:marRight w:val="0"/>
          <w:marTop w:val="0"/>
          <w:marBottom w:val="0"/>
          <w:divBdr>
            <w:top w:val="none" w:sz="0" w:space="0" w:color="auto"/>
            <w:left w:val="none" w:sz="0" w:space="0" w:color="auto"/>
            <w:bottom w:val="none" w:sz="0" w:space="0" w:color="auto"/>
            <w:right w:val="none" w:sz="0" w:space="0" w:color="auto"/>
          </w:divBdr>
        </w:div>
        <w:div w:id="485167219">
          <w:marLeft w:val="0"/>
          <w:marRight w:val="0"/>
          <w:marTop w:val="0"/>
          <w:marBottom w:val="0"/>
          <w:divBdr>
            <w:top w:val="none" w:sz="0" w:space="0" w:color="auto"/>
            <w:left w:val="none" w:sz="0" w:space="0" w:color="auto"/>
            <w:bottom w:val="none" w:sz="0" w:space="0" w:color="auto"/>
            <w:right w:val="none" w:sz="0" w:space="0" w:color="auto"/>
          </w:divBdr>
        </w:div>
        <w:div w:id="730153621">
          <w:marLeft w:val="0"/>
          <w:marRight w:val="0"/>
          <w:marTop w:val="0"/>
          <w:marBottom w:val="0"/>
          <w:divBdr>
            <w:top w:val="none" w:sz="0" w:space="0" w:color="auto"/>
            <w:left w:val="none" w:sz="0" w:space="0" w:color="auto"/>
            <w:bottom w:val="none" w:sz="0" w:space="0" w:color="auto"/>
            <w:right w:val="none" w:sz="0" w:space="0" w:color="auto"/>
          </w:divBdr>
        </w:div>
        <w:div w:id="1692563795">
          <w:marLeft w:val="0"/>
          <w:marRight w:val="0"/>
          <w:marTop w:val="0"/>
          <w:marBottom w:val="0"/>
          <w:divBdr>
            <w:top w:val="none" w:sz="0" w:space="0" w:color="auto"/>
            <w:left w:val="none" w:sz="0" w:space="0" w:color="auto"/>
            <w:bottom w:val="none" w:sz="0" w:space="0" w:color="auto"/>
            <w:right w:val="none" w:sz="0" w:space="0" w:color="auto"/>
          </w:divBdr>
        </w:div>
        <w:div w:id="225651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aade.gov.gr/" TargetMode="External"/><Relationship Id="rId4" Type="http://schemas.openxmlformats.org/officeDocument/2006/relationships/hyperlink" Target="http://myaade.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Michelongonas, Antonios</dc:creator>
  <cp:keywords/>
  <dc:description/>
  <cp:lastModifiedBy>Michelongonas, Antonios</cp:lastModifiedBy>
  <cp:revision>1</cp:revision>
  <dcterms:created xsi:type="dcterms:W3CDTF">2026-03-11T10:56:00Z</dcterms:created>
  <dcterms:modified xsi:type="dcterms:W3CDTF">2026-03-11T11:18:00Z</dcterms:modified>
</cp:coreProperties>
</file>