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075EF" w14:textId="3C55868E" w:rsidR="00D8712B" w:rsidRDefault="00D8712B" w:rsidP="00B742A5">
      <w:pPr>
        <w:jc w:val="center"/>
        <w:rPr>
          <w:b/>
          <w:bCs/>
        </w:rPr>
      </w:pPr>
      <w:bookmarkStart w:id="0" w:name="_GoBack"/>
      <w:bookmarkEnd w:id="0"/>
      <w:r>
        <w:rPr>
          <w:b/>
          <w:bCs/>
        </w:rPr>
        <w:t>Αντιπαραθετική πρόταση συμβούλων της Εναλλακτικής με πρόταση αποχής</w:t>
      </w:r>
    </w:p>
    <w:p w14:paraId="7DB916D4" w14:textId="77777777" w:rsidR="00D8712B" w:rsidRDefault="00D8712B" w:rsidP="00D8712B">
      <w:pPr>
        <w:jc w:val="both"/>
      </w:pPr>
      <w:r>
        <w:t>Συνεδρίασε στις 18.11.2025 το ΔΣ του ΔΣΑ για να λάβει απόφαση επί των πρόσφατων παρεμβάσεων της Ένωσης Δικαστών και Εισαγγελέων και του Προέδρου της Χριστόφορου Σεβαστίδη για την κριτική δικηγόρων σε δικαστικές αποφάσεις.</w:t>
      </w:r>
    </w:p>
    <w:p w14:paraId="40ADCE62" w14:textId="77777777" w:rsidR="00D8712B" w:rsidRDefault="00D8712B" w:rsidP="00D8712B">
      <w:pPr>
        <w:jc w:val="both"/>
      </w:pPr>
      <w:r>
        <w:t>Προτάθηκε να υιοθετηθεί η απόφαση της Συντονιστικής Επιτροπής της Ολομέλειας των Δικηγορικών Συλλόγων που συνεδρίασε εκτάκτως στις 17.11.2025.</w:t>
      </w:r>
      <w:r>
        <w:rPr>
          <w:rStyle w:val="FootnoteAnchor"/>
        </w:rPr>
        <w:footnoteReference w:id="1"/>
      </w:r>
    </w:p>
    <w:p w14:paraId="66D359BE" w14:textId="77777777" w:rsidR="00D8712B" w:rsidRDefault="00D8712B" w:rsidP="00D8712B">
      <w:pPr>
        <w:jc w:val="both"/>
      </w:pPr>
      <w:r>
        <w:t>Οι σύμβουλοι της Εναλλακτικής Παρέμβασης εξέφρασαν την επιτακτική ανάγκη σύσσωμης απάντησης των δικηγόρων στα φαινόμενα ευθείας ευθυγράμμισης της ηγεσίας της δικαστικής εξουσίας προς τις επιταγές της εκτελεστικής σε μείζονες υποθέσεις κοινωνικού ενδιαφέροντος και στην αμφισβήτηση από πλευράς εκπροσώπων της δικαστικής εξουσίας του δικαιώματος των δικηγόρων και των πολιτών να ασκούν κριτική στις δικαστικές αποφάσεις. Δικαίωμα που τελεί υπό διακύβευση, μαζί με το σύνολο των αρχών του κράτους δικαίου, σήμερα, λόγω την πράξεων κυβέρνησης και ηγεσίας της δικαστικής εξουσίας.</w:t>
      </w:r>
    </w:p>
    <w:p w14:paraId="5526CD8D" w14:textId="77777777" w:rsidR="00D8712B" w:rsidRDefault="00D8712B" w:rsidP="00D8712B">
      <w:pPr>
        <w:jc w:val="both"/>
      </w:pPr>
      <w:r>
        <w:t>Οι πρόσφατες παρεμβάσεις της Ένωσης Δικαστών και Εισαγγελέων, δια στόματος και του Προέδρου της, αμφισβητούν κατ’ ουσίαν το δικαίωμα των δικηγόρων να ασκούν κριτική σε εισαγγελικές και δικαστικές αποφάσεις, όσες φορές και αν επικαλούνται το επίθετο “συκοφαντική”. Χαρακτηριστικά, η αντίδραση στην άποψη που διατυπώθηκε δημόσια από δικηγόρο ότι είναι πρακτικά αδύνατο να μελετήθηκαν χιλιάδες σελίδες δικογραφίας για το έγκλημα στα Τέμπη μέσα σε 7 ημέρες και να συντάχθηκε και εισαγγελική πρόταση, με αίτημα μάλιστα πειθαρχικής διερεύνησης, είναι δείγμα δυσανεξίας στην δημόσια κριτική και απαιτεί την αποφασιστική στάση των δικηγορικών συλλόγων. Η ελευθερία των συνηγόρων, αλλά και κάθε πολίτη να ασκεί δημόσια κριτική σε δικαστικές αποφάσεις, είναι αδιαπραγμάτευτη και λειτουργικό στοιχείο οποιουδήποτε κράτους δικαίου.</w:t>
      </w:r>
    </w:p>
    <w:p w14:paraId="4CA879E8" w14:textId="77777777" w:rsidR="00D8712B" w:rsidRDefault="00D8712B" w:rsidP="00D8712B">
      <w:pPr>
        <w:jc w:val="both"/>
      </w:pPr>
      <w:r>
        <w:t>Ωστόσο, με την πρόταση της Διοίκησης και της Συντονιστικής Επιτροπής, επιχειρήθηκε άστοχα και εσφαλμένα να απαντηθούν υπό την ίδια «ομπρέλα» γενικής τοποθέτησης αντιδράσεις της ΕνΔΕ σε διαφορετικά περιστατικά: μεταξύ αυτών και δηλώσεις συνηγόρου καταδικασμένου πρωτοδίκως για διεύθυνση της ναζιστικής εγκληματικής οργάνωσης “Χρυσή Αυγή” με τις οποίες αναπαραγόταν η γνωστή υπερασπιστική γραμμή περί “πολιτικής δίωξης” και “σκευωρίας”.</w:t>
      </w:r>
    </w:p>
    <w:p w14:paraId="76599165" w14:textId="77777777" w:rsidR="00D8712B" w:rsidRDefault="00D8712B" w:rsidP="00D8712B">
      <w:pPr>
        <w:jc w:val="both"/>
      </w:pPr>
      <w:r>
        <w:t xml:space="preserve">Η επιμονή της διοίκησης να συμπεριληφθούν όλα υπό τη σκέπη μιας αδιαφοροποίητης ανακοίνωσης είναι εσφαλμένη και αποδυναμώνει τη στάση αρχών με την οποία πρέπει να αντιμετωπίσει το δικηγορικό σώμα αυτές τις επιθέσεις. Δίνει λαβές σε τρίτους να υποστηρίξουν εμμέσως το κοινωνικά απαξιωμένο υπερασπιστικό αφήγημα της ναζιστικής εγκληματικής οργάνωσης. Είναι βέβαιο ότι μια τέτοια γενική ανακοίνωση εκθέτει τον Σύλλογό μας σε κριτική για συντεχνιακές αντιδράσεις, χωρίς ευρύτερη οπτική των πραγμάτων, γεγονός που τελικά δεν θα λειτουργήσει υπέρ του δίκαιου αγώνα μας για την προάσπιση του δικηγορικού  σώματος απέναντι σε απόπειρες φίμωσης και δικαστικού αυταρχισμού. Εκφράσαμε, δε, τη θέση ότι, για να αποφευχθεί αυτός ο κίνδυνος, σε περίπτωση τέτοιας γενικής τοποθέτησης, το ΔΣ θα έπρεπε τουλάχιστον να προσθέσει στο κείμενο μια αναφορά που να κάνει μνεία και να επιβεβαιώνει τη θέση του ΔΣΑ και της </w:t>
      </w:r>
      <w:r>
        <w:lastRenderedPageBreak/>
        <w:t>Ολομέλειας για την κορυφαία για τη σύγχρονη ιστορία καταδικαστική απόφαση της δίκης της ΧΑ.</w:t>
      </w:r>
      <w:r>
        <w:rPr>
          <w:rStyle w:val="FootnoteAnchor"/>
        </w:rPr>
        <w:footnoteReference w:id="2"/>
      </w:r>
    </w:p>
    <w:p w14:paraId="652BC0E8" w14:textId="77777777" w:rsidR="00D8712B" w:rsidRDefault="00D8712B" w:rsidP="00D8712B">
      <w:pPr>
        <w:jc w:val="both"/>
      </w:pPr>
      <w:r>
        <w:t xml:space="preserve">Σημειώνουμε επίσης ότι, δυστυχώς, την ίδια ζέση και δυναμισμό δεν φρόντισαν να επιδείξουν ο ΔΣΑ και η Ολομέλεια απέναντι στον Υπουργό Δικαιοσύνης Γ. Φλωρίδη που επί σειρά ετών και με πλείστες ευκαιρίες φροντίζει διαρκώς να απαξιώνει το δικηγορικό σώμα και να χυδαιολογεί για τους δικηγόρους, όταν αυτοί υπερασπίζονται τα δικαιώματα των πολιτών και το κράτος δικαίου ενάντια στη νομοθέτηση του ποινικού λαϊκισμού και αυταρχισμού. Θυμίζουμε ενδεικτικά τις δηλώσεις του Υπουργού ότι οι αντιδράσεις των δικηγόρων γίνονται «για τους εγκληματίες πελάτες τους» και άλλες επιθέσεις στο δικηγορικό λειτούργημα. Ουδέποτε η διοίκηση ανταποκρίθηκε στα αιτήματα της Εναλλακτικής να υψώσει ανάστημα απέναντι στον Υπουργό και την κυβέρνηση της ΝΔ, που άλλωστε είναι αυτοί που με τις πολιτικές τους πλήττουν τα συμφέροντα των αυτοαπασχολούμενων και μισθωτών δικηγόρων, αλλά και εκείνων των δικαστικών και εισαγγελικών λειτουργών που επιτελούν ευσυνείδητα τα καθήκοντά τους. Ούτε προχώρησε στην κήρυξη του προσώπου του Υπουργού ως </w:t>
      </w:r>
      <w:r>
        <w:rPr>
          <w:lang w:val="en-US"/>
        </w:rPr>
        <w:t>persona</w:t>
      </w:r>
      <w:r>
        <w:t xml:space="preserve"> </w:t>
      </w:r>
      <w:r>
        <w:rPr>
          <w:lang w:val="en-US"/>
        </w:rPr>
        <w:t>non</w:t>
      </w:r>
      <w:r>
        <w:t xml:space="preserve"> </w:t>
      </w:r>
      <w:r>
        <w:rPr>
          <w:lang w:val="en-US"/>
        </w:rPr>
        <w:t>grata</w:t>
      </w:r>
      <w:r>
        <w:t>, κάτι που επανειλημμένα ζητήσαμε, όπως κάνει σήμερα στο πρόσωπο του Προέδρου της ΕνΔΕ Χρ. Σεβαστίδη. Αντ’ αυτού, η διοίκηση έφτασε σε σημείο να υποδέχεται τον Φλωρίδη στις Ολομέλειες ως σχεδόν συμπροεδρεύοντα! Οι επιλεκτικές αυτές αντιδράσεις εκθέτουν τις προθέσεις της απερχόμενης Διοίκησης.</w:t>
      </w:r>
    </w:p>
    <w:p w14:paraId="5A946FCD" w14:textId="77777777" w:rsidR="00D8712B" w:rsidRDefault="00D8712B" w:rsidP="00D8712B">
      <w:pPr>
        <w:jc w:val="both"/>
      </w:pPr>
      <w:r>
        <w:t>Ενόψει αυτών, η Εναλλακτική Παρέμβαση έχει την κατωτέρω θέση που θεωρεί ότι έπρεπε να υποστηριχθεί από το ΔΣ:</w:t>
      </w:r>
    </w:p>
    <w:p w14:paraId="0B91FE6B" w14:textId="77777777" w:rsidR="00D8712B" w:rsidRDefault="00D8712B" w:rsidP="00D8712B">
      <w:pPr>
        <w:jc w:val="both"/>
      </w:pPr>
      <w:r>
        <w:t xml:space="preserve">“Καταδικάζουμε τις πρόσφατες παρεμβάσεις θεσμικών οργάνων του δικαστικού σώματος και του Προέδρου της Ένωσης Δικαστών και Εισαγγελέων, οι οποίες κατ’ ουσίαν αμφισβητούν το δικαίωμα των δικηγόρων και των πολιτών να ασκούν κριτική σε δικαστικές αποφάσεις. Οι υποδείξεις της ΕνΔΕ για πειθαρχική διερεύνηση για πρόσφατες δηλώσεις συνηγόρου όσον αφορά στον χρόνο σύνταξης της εισαγγελικής πρότασης για την υπόθεση των Τεμπών, αποπνέουν δυσανεξία στη δημόσια κριτική και αξίωση για μια ασυλία στα πεπραγμένα των δικαστών που δεν στηρίζεται στο νόμο και το Σύνταγμα και είναι επικίνδυνη για το κράτος δικαίου και την ελευθερία της έκφρασης. </w:t>
      </w:r>
    </w:p>
    <w:p w14:paraId="7AD9F468" w14:textId="77777777" w:rsidR="00D8712B" w:rsidRDefault="00D8712B" w:rsidP="00D8712B">
      <w:pPr>
        <w:jc w:val="both"/>
      </w:pPr>
      <w:r>
        <w:t xml:space="preserve">Πολλώ μάλλον, η πρόταση του Προέδρου της ΕνΔΕ για υποκατάσταση της πειθαρχικής δικαιοδοσίας των δικηγορικών συλλόγων από «δικαστικά όργανα» συνιστά ευθεία επίθεση και απαξίωση στο δικηγορικό σώμα. Οι Δικηγορικοί Σύλλογοι έχουν καθεστώς αυτορρύθμισης, πλήρη αρμοδιότητα και κάθε επιστημονική προϋπόθεση για να εκπληρώνουν το έργο του πειθαρχικού ελέγχου και της τήρησης της δεοντολογίας από τα μέλη τους. Καμία θέση δεν έχει το δικαστικό σώμα να κάνει υποδείξεις και να αναλάβει τον πειθαρχικό έλεγχο των δικηγόρων, ο οποίος ούτως ή άλλως κρίνεται δικαστικά σε μεταγενέστερο στάδιο. Οποιαδήποτε τέτοια πρόθεση θα συνιστά ευθεία απειλή για την ανεξαρτησία και ελευθερία άσκησης του δικηγορικού λειτουργήματος, που πρέπει να ασκείται με παρρησία και εχέγγυα ανεξαρτησίας και όχι στο πλαίσιο ενός αυταρχικού καθεστώτος «κράτους δικαστών». </w:t>
      </w:r>
    </w:p>
    <w:p w14:paraId="16823A10" w14:textId="77777777" w:rsidR="00D8712B" w:rsidRDefault="00D8712B" w:rsidP="00D8712B">
      <w:pPr>
        <w:jc w:val="both"/>
      </w:pPr>
      <w:r>
        <w:lastRenderedPageBreak/>
        <w:t>Τα φαινόμενα αυταρχισμού και απαξίωσης από δικαστές αφ’ έδρας απέναντι σε συνηγόρους, και δια στόματος θεσμικών οργάνων των δικαστών και εισαγγελέων πληθαίνουν. Ακολουθούν το πνεύμα επίθεσης στο δικηγορικό λειτούργημα από την κυβέρνηση και τον Υπουργό Δικαιοσύνης που επιπλήττει και απαξιώνει τους δικηγόρους για να μην αντιδρούν στις μεταρρυθμίσεις που πλήττουν το κράτος δικαίου. Θα απαντηθούν αποφασιστικά και ενωμένα από τα θεσμικά όργανα του δικηγορικού σώματος, που διαφυλάσσουν τις ελευθερίες και τα δημοκρατικά κεκτημένα και είναι υπεύθυνα για την πειθαρχική τιμωρία συμπεριφορών μελών του που απάδουν του δικηγορικού λειτουργήματος.</w:t>
      </w:r>
    </w:p>
    <w:p w14:paraId="1CFA2A18" w14:textId="77777777" w:rsidR="00D8712B" w:rsidRDefault="00D8712B" w:rsidP="00D8712B">
      <w:pPr>
        <w:jc w:val="both"/>
      </w:pPr>
      <w:r>
        <w:t xml:space="preserve">Η ανεξαρτησία και η αυτοτέλεια των Δικηγορικών Συλλόγων, η ανεξαρτησία και η αξιοπρέπεια του δικηγορικού λειτουργήματος είναι αδιαπραγμάτευτες. </w:t>
      </w:r>
    </w:p>
    <w:p w14:paraId="442D89A0" w14:textId="77777777" w:rsidR="00D8712B" w:rsidRDefault="00D8712B" w:rsidP="00D8712B">
      <w:pPr>
        <w:jc w:val="both"/>
      </w:pPr>
      <w:r>
        <w:t>Προτείνεται και αποφασίζεται δίωρη αποχή των μελών τους την Τρίτη 25.11.2025 σε ένδειξη διαμαρτυρίας για τις δηλώσεις του Προέδρου της ΕνΔΕ και η επίδοση σχετικών ψηφισμάτων διαμαρτυρίας.”</w:t>
      </w:r>
    </w:p>
    <w:p w14:paraId="22058DBA" w14:textId="77777777" w:rsidR="00D8712B" w:rsidRDefault="00D8712B" w:rsidP="00D8712B"/>
    <w:p w14:paraId="4A1AE0CD" w14:textId="77777777" w:rsidR="00D8712B" w:rsidRDefault="00D8712B" w:rsidP="00D8712B">
      <w:r>
        <w:t>Οι σύμβουλοι της Εναλλακτικής, Αναστασία Ματσούκα και Αναστασία Σταυροπούλου</w:t>
      </w:r>
    </w:p>
    <w:p w14:paraId="5756A57D" w14:textId="77777777" w:rsidR="009306DE" w:rsidRDefault="009306DE"/>
    <w:sectPr w:rsidR="009306DE" w:rsidSect="00D8712B">
      <w:footerReference w:type="default" r:id="rId6"/>
      <w:pgSz w:w="11906" w:h="16838"/>
      <w:pgMar w:top="1440" w:right="1800" w:bottom="1440" w:left="180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93E34" w14:textId="77777777" w:rsidR="00A91214" w:rsidRDefault="00A91214" w:rsidP="00D8712B">
      <w:pPr>
        <w:spacing w:after="0" w:line="240" w:lineRule="auto"/>
      </w:pPr>
      <w:r>
        <w:separator/>
      </w:r>
    </w:p>
  </w:endnote>
  <w:endnote w:type="continuationSeparator" w:id="0">
    <w:p w14:paraId="18351021" w14:textId="77777777" w:rsidR="00A91214" w:rsidRDefault="00A91214" w:rsidP="00D87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8811771"/>
      <w:docPartObj>
        <w:docPartGallery w:val="Page Numbers (Bottom of Page)"/>
        <w:docPartUnique/>
      </w:docPartObj>
    </w:sdtPr>
    <w:sdtEndPr/>
    <w:sdtContent>
      <w:p w14:paraId="1B8A254D" w14:textId="2A88EE38" w:rsidR="00D8712B" w:rsidRDefault="00D8712B">
        <w:pPr>
          <w:pStyle w:val="ac"/>
          <w:jc w:val="center"/>
        </w:pPr>
        <w:r>
          <w:fldChar w:fldCharType="begin"/>
        </w:r>
        <w:r>
          <w:instrText>PAGE   \* MERGEFORMAT</w:instrText>
        </w:r>
        <w:r>
          <w:fldChar w:fldCharType="separate"/>
        </w:r>
        <w:r w:rsidR="002647BC">
          <w:rPr>
            <w:noProof/>
          </w:rPr>
          <w:t>1</w:t>
        </w:r>
        <w:r>
          <w:fldChar w:fldCharType="end"/>
        </w:r>
      </w:p>
    </w:sdtContent>
  </w:sdt>
  <w:p w14:paraId="463A761B" w14:textId="77777777" w:rsidR="00D8712B" w:rsidRDefault="00D8712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785F1" w14:textId="77777777" w:rsidR="00A91214" w:rsidRDefault="00A91214" w:rsidP="00D8712B">
      <w:pPr>
        <w:spacing w:after="0" w:line="240" w:lineRule="auto"/>
      </w:pPr>
      <w:r>
        <w:separator/>
      </w:r>
    </w:p>
  </w:footnote>
  <w:footnote w:type="continuationSeparator" w:id="0">
    <w:p w14:paraId="5FB7394E" w14:textId="77777777" w:rsidR="00A91214" w:rsidRDefault="00A91214" w:rsidP="00D8712B">
      <w:pPr>
        <w:spacing w:after="0" w:line="240" w:lineRule="auto"/>
      </w:pPr>
      <w:r>
        <w:continuationSeparator/>
      </w:r>
    </w:p>
  </w:footnote>
  <w:footnote w:id="1">
    <w:p w14:paraId="042EF636" w14:textId="77777777" w:rsidR="00D8712B" w:rsidRDefault="00D8712B" w:rsidP="00D8712B">
      <w:pPr>
        <w:pStyle w:val="aa"/>
      </w:pPr>
      <w:r>
        <w:rPr>
          <w:rStyle w:val="FootnoteCharacters"/>
        </w:rPr>
        <w:footnoteRef/>
      </w:r>
      <w:r>
        <w:t xml:space="preserve"> </w:t>
      </w:r>
      <w:hyperlink r:id="rId1">
        <w:r>
          <w:rPr>
            <w:rStyle w:val="-"/>
          </w:rPr>
          <w:t>https://www.dsa.gr/%CE%B1%CE%BD%CE%B1%CE%BA%CE%BF%CE%B9%CE%BD%CF%8E%CF%83%CE%B5%CE%B9%CF%82/anakoinoseis/syntonistiki-epitropi-i-aytorrythmisi-toy-epaggelmatos-apotelei-kokkini</w:t>
        </w:r>
      </w:hyperlink>
      <w:r>
        <w:t xml:space="preserve"> </w:t>
      </w:r>
    </w:p>
  </w:footnote>
  <w:footnote w:id="2">
    <w:p w14:paraId="18A83203" w14:textId="77777777" w:rsidR="00D8712B" w:rsidRDefault="00D8712B" w:rsidP="00D8712B">
      <w:pPr>
        <w:pStyle w:val="aa"/>
      </w:pPr>
      <w:r>
        <w:rPr>
          <w:rStyle w:val="FootnoteCharacters"/>
        </w:rPr>
        <w:footnoteRef/>
      </w:r>
      <w:r>
        <w:t xml:space="preserve"> https://www.dsa.gr/%CE%B1%CE%BD%CE%B1%CE%BA%CE%BF%CE%B9%CE%BD%CF%8E%CF%83%CE%B5%CE%B9%CF%82/apofaseis-olomeleias/anakoinosi-tis-syntonistikis-epitropis-tis-olomeleias-ton-4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12B"/>
    <w:rsid w:val="000808EB"/>
    <w:rsid w:val="002647BC"/>
    <w:rsid w:val="002A0BAD"/>
    <w:rsid w:val="007344B6"/>
    <w:rsid w:val="008C3D11"/>
    <w:rsid w:val="009306DE"/>
    <w:rsid w:val="00A91214"/>
    <w:rsid w:val="00B45CF6"/>
    <w:rsid w:val="00B742A5"/>
    <w:rsid w:val="00D871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B3FE"/>
  <w15:chartTrackingRefBased/>
  <w15:docId w15:val="{7B980540-77CE-4AF7-B5A6-FE824E87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12B"/>
    <w:pPr>
      <w:suppressAutoHyphens/>
    </w:pPr>
  </w:style>
  <w:style w:type="paragraph" w:styleId="1">
    <w:name w:val="heading 1"/>
    <w:basedOn w:val="a"/>
    <w:next w:val="a"/>
    <w:link w:val="1Char"/>
    <w:uiPriority w:val="9"/>
    <w:qFormat/>
    <w:rsid w:val="00D8712B"/>
    <w:pPr>
      <w:keepNext/>
      <w:keepLines/>
      <w:suppressAutoHyphens w:val="0"/>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8712B"/>
    <w:pPr>
      <w:keepNext/>
      <w:keepLines/>
      <w:suppressAutoHyphens w:val="0"/>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8712B"/>
    <w:pPr>
      <w:keepNext/>
      <w:keepLines/>
      <w:suppressAutoHyphens w:val="0"/>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8712B"/>
    <w:pPr>
      <w:keepNext/>
      <w:keepLines/>
      <w:suppressAutoHyphens w:val="0"/>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8712B"/>
    <w:pPr>
      <w:keepNext/>
      <w:keepLines/>
      <w:suppressAutoHyphens w:val="0"/>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8712B"/>
    <w:pPr>
      <w:keepNext/>
      <w:keepLines/>
      <w:suppressAutoHyphens w:val="0"/>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712B"/>
    <w:pPr>
      <w:keepNext/>
      <w:keepLines/>
      <w:suppressAutoHyphens w:val="0"/>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712B"/>
    <w:pPr>
      <w:keepNext/>
      <w:keepLines/>
      <w:suppressAutoHyphens w:val="0"/>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712B"/>
    <w:pPr>
      <w:keepNext/>
      <w:keepLines/>
      <w:suppressAutoHyphens w:val="0"/>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8712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8712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8712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8712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8712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8712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8712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8712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8712B"/>
    <w:rPr>
      <w:rFonts w:eastAsiaTheme="majorEastAsia" w:cstheme="majorBidi"/>
      <w:color w:val="272727" w:themeColor="text1" w:themeTint="D8"/>
    </w:rPr>
  </w:style>
  <w:style w:type="paragraph" w:styleId="a3">
    <w:name w:val="Title"/>
    <w:basedOn w:val="a"/>
    <w:next w:val="a"/>
    <w:link w:val="Char"/>
    <w:uiPriority w:val="10"/>
    <w:qFormat/>
    <w:rsid w:val="00D8712B"/>
    <w:pPr>
      <w:suppressAutoHyphens w:val="0"/>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8712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712B"/>
    <w:pPr>
      <w:numPr>
        <w:ilvl w:val="1"/>
      </w:numPr>
      <w:suppressAutoHyphens w:val="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8712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8712B"/>
    <w:pPr>
      <w:suppressAutoHyphens w:val="0"/>
      <w:spacing w:before="160"/>
      <w:jc w:val="center"/>
    </w:pPr>
    <w:rPr>
      <w:i/>
      <w:iCs/>
      <w:color w:val="404040" w:themeColor="text1" w:themeTint="BF"/>
    </w:rPr>
  </w:style>
  <w:style w:type="character" w:customStyle="1" w:styleId="Char1">
    <w:name w:val="Απόσπασμα Char"/>
    <w:basedOn w:val="a0"/>
    <w:link w:val="a5"/>
    <w:uiPriority w:val="29"/>
    <w:rsid w:val="00D8712B"/>
    <w:rPr>
      <w:i/>
      <w:iCs/>
      <w:color w:val="404040" w:themeColor="text1" w:themeTint="BF"/>
    </w:rPr>
  </w:style>
  <w:style w:type="paragraph" w:styleId="a6">
    <w:name w:val="List Paragraph"/>
    <w:basedOn w:val="a"/>
    <w:uiPriority w:val="34"/>
    <w:qFormat/>
    <w:rsid w:val="00D8712B"/>
    <w:pPr>
      <w:suppressAutoHyphens w:val="0"/>
      <w:ind w:left="720"/>
      <w:contextualSpacing/>
    </w:pPr>
  </w:style>
  <w:style w:type="character" w:styleId="a7">
    <w:name w:val="Intense Emphasis"/>
    <w:basedOn w:val="a0"/>
    <w:uiPriority w:val="21"/>
    <w:qFormat/>
    <w:rsid w:val="00D8712B"/>
    <w:rPr>
      <w:i/>
      <w:iCs/>
      <w:color w:val="2F5496" w:themeColor="accent1" w:themeShade="BF"/>
    </w:rPr>
  </w:style>
  <w:style w:type="paragraph" w:styleId="a8">
    <w:name w:val="Intense Quote"/>
    <w:basedOn w:val="a"/>
    <w:next w:val="a"/>
    <w:link w:val="Char2"/>
    <w:uiPriority w:val="30"/>
    <w:qFormat/>
    <w:rsid w:val="00D8712B"/>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8712B"/>
    <w:rPr>
      <w:i/>
      <w:iCs/>
      <w:color w:val="2F5496" w:themeColor="accent1" w:themeShade="BF"/>
    </w:rPr>
  </w:style>
  <w:style w:type="character" w:styleId="a9">
    <w:name w:val="Intense Reference"/>
    <w:basedOn w:val="a0"/>
    <w:uiPriority w:val="32"/>
    <w:qFormat/>
    <w:rsid w:val="00D8712B"/>
    <w:rPr>
      <w:b/>
      <w:bCs/>
      <w:smallCaps/>
      <w:color w:val="2F5496" w:themeColor="accent1" w:themeShade="BF"/>
      <w:spacing w:val="5"/>
    </w:rPr>
  </w:style>
  <w:style w:type="character" w:customStyle="1" w:styleId="Char10">
    <w:name w:val="Κείμενο υποσημείωσης Char1"/>
    <w:basedOn w:val="a0"/>
    <w:link w:val="aa"/>
    <w:uiPriority w:val="30"/>
    <w:semiHidden/>
    <w:qFormat/>
    <w:rsid w:val="00D8712B"/>
    <w:rPr>
      <w:i/>
      <w:iCs/>
      <w:color w:val="2F5496" w:themeColor="accent1" w:themeShade="BF"/>
    </w:rPr>
  </w:style>
  <w:style w:type="character" w:customStyle="1" w:styleId="FootnoteCharacters">
    <w:name w:val="Footnote Characters"/>
    <w:basedOn w:val="a0"/>
    <w:uiPriority w:val="99"/>
    <w:semiHidden/>
    <w:unhideWhenUsed/>
    <w:qFormat/>
    <w:rsid w:val="00D8712B"/>
    <w:rPr>
      <w:vertAlign w:val="superscript"/>
    </w:rPr>
  </w:style>
  <w:style w:type="character" w:customStyle="1" w:styleId="FootnoteAnchor">
    <w:name w:val="Footnote Anchor"/>
    <w:rsid w:val="00D8712B"/>
    <w:rPr>
      <w:vertAlign w:val="superscript"/>
    </w:rPr>
  </w:style>
  <w:style w:type="character" w:styleId="-">
    <w:name w:val="Hyperlink"/>
    <w:basedOn w:val="a0"/>
    <w:uiPriority w:val="99"/>
    <w:unhideWhenUsed/>
    <w:rsid w:val="00D8712B"/>
    <w:rPr>
      <w:color w:val="0563C1" w:themeColor="hyperlink"/>
      <w:u w:val="single"/>
    </w:rPr>
  </w:style>
  <w:style w:type="paragraph" w:styleId="aa">
    <w:name w:val="footnote text"/>
    <w:basedOn w:val="a"/>
    <w:link w:val="Char10"/>
    <w:uiPriority w:val="30"/>
    <w:semiHidden/>
    <w:unhideWhenUsed/>
    <w:rsid w:val="00D8712B"/>
    <w:pPr>
      <w:spacing w:after="0" w:line="240" w:lineRule="auto"/>
    </w:pPr>
    <w:rPr>
      <w:i/>
      <w:iCs/>
      <w:color w:val="2F5496" w:themeColor="accent1" w:themeShade="BF"/>
    </w:rPr>
  </w:style>
  <w:style w:type="character" w:customStyle="1" w:styleId="Char3">
    <w:name w:val="Κείμενο υποσημείωσης Char"/>
    <w:basedOn w:val="a0"/>
    <w:uiPriority w:val="99"/>
    <w:semiHidden/>
    <w:rsid w:val="00D8712B"/>
    <w:rPr>
      <w:sz w:val="20"/>
      <w:szCs w:val="20"/>
    </w:rPr>
  </w:style>
  <w:style w:type="paragraph" w:styleId="ab">
    <w:name w:val="header"/>
    <w:basedOn w:val="a"/>
    <w:link w:val="Char4"/>
    <w:uiPriority w:val="99"/>
    <w:unhideWhenUsed/>
    <w:rsid w:val="00D8712B"/>
    <w:pPr>
      <w:tabs>
        <w:tab w:val="center" w:pos="4153"/>
        <w:tab w:val="right" w:pos="8306"/>
      </w:tabs>
      <w:spacing w:after="0" w:line="240" w:lineRule="auto"/>
    </w:pPr>
  </w:style>
  <w:style w:type="character" w:customStyle="1" w:styleId="Char4">
    <w:name w:val="Κεφαλίδα Char"/>
    <w:basedOn w:val="a0"/>
    <w:link w:val="ab"/>
    <w:uiPriority w:val="99"/>
    <w:rsid w:val="00D8712B"/>
  </w:style>
  <w:style w:type="paragraph" w:styleId="ac">
    <w:name w:val="footer"/>
    <w:basedOn w:val="a"/>
    <w:link w:val="Char5"/>
    <w:uiPriority w:val="99"/>
    <w:unhideWhenUsed/>
    <w:rsid w:val="00D8712B"/>
    <w:pPr>
      <w:tabs>
        <w:tab w:val="center" w:pos="4153"/>
        <w:tab w:val="right" w:pos="8306"/>
      </w:tabs>
      <w:spacing w:after="0" w:line="240" w:lineRule="auto"/>
    </w:pPr>
  </w:style>
  <w:style w:type="character" w:customStyle="1" w:styleId="Char5">
    <w:name w:val="Υποσέλιδο Char"/>
    <w:basedOn w:val="a0"/>
    <w:link w:val="ac"/>
    <w:uiPriority w:val="99"/>
    <w:rsid w:val="00D87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dsa.gr/&#945;&#957;&#945;&#954;&#959;&#953;&#957;&#974;&#963;&#949;&#953;&#962;/anakoinoseis/syntonistiki-epitropi-i-aytorrythmisi-toy-epaggelmatos-apotelei-kokkin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1127</Words>
  <Characters>6090</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Stavropoulou</dc:creator>
  <cp:keywords/>
  <dc:description/>
  <cp:lastModifiedBy>User</cp:lastModifiedBy>
  <cp:revision>2</cp:revision>
  <dcterms:created xsi:type="dcterms:W3CDTF">2025-11-18T15:16:00Z</dcterms:created>
  <dcterms:modified xsi:type="dcterms:W3CDTF">2025-11-18T15:16:00Z</dcterms:modified>
</cp:coreProperties>
</file>